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23F0A">
        <w:rPr>
          <w:rFonts w:ascii="Arial" w:hAnsi="Arial" w:cs="Arial"/>
          <w:b/>
          <w:color w:val="000000"/>
          <w:sz w:val="28"/>
          <w:szCs w:val="28"/>
        </w:rPr>
        <w:t>A</w:t>
      </w:r>
      <w:r w:rsidR="003F0550">
        <w:rPr>
          <w:rFonts w:ascii="Arial" w:hAnsi="Arial" w:cs="Arial"/>
          <w:b/>
          <w:color w:val="000000"/>
          <w:sz w:val="28"/>
          <w:szCs w:val="28"/>
        </w:rPr>
        <w:t>ccounts Payable</w:t>
      </w:r>
      <w:r w:rsidR="00323F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57D1">
        <w:rPr>
          <w:rFonts w:ascii="Arial" w:hAnsi="Arial" w:cs="Arial"/>
          <w:b/>
          <w:color w:val="000000"/>
          <w:sz w:val="28"/>
          <w:szCs w:val="28"/>
        </w:rPr>
        <w:t>Officer</w:t>
      </w:r>
    </w:p>
    <w:p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09291A">
        <w:rPr>
          <w:rFonts w:ascii="Arial" w:hAnsi="Arial" w:cs="Arial"/>
          <w:b/>
          <w:color w:val="000000" w:themeColor="text1"/>
          <w:sz w:val="28"/>
          <w:szCs w:val="28"/>
        </w:rPr>
        <w:t>Finance Coordinator</w:t>
      </w:r>
      <w:r w:rsidR="00F95134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93B48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  <w:r w:rsidR="00E93B48" w:rsidRPr="00361618">
        <w:rPr>
          <w:rFonts w:ascii="Arial" w:hAnsi="Arial" w:cs="Arial"/>
          <w:b/>
          <w:color w:val="000000"/>
          <w:sz w:val="28"/>
          <w:szCs w:val="28"/>
        </w:rPr>
        <w:t>nominee</w:t>
      </w:r>
    </w:p>
    <w:p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:rsidTr="000E35BB">
        <w:tc>
          <w:tcPr>
            <w:tcW w:w="9900" w:type="dxa"/>
          </w:tcPr>
          <w:p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E37EAE" w:rsidRPr="008B3024" w:rsidRDefault="00E37EAE" w:rsidP="00E37EAE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Vision</w:t>
            </w:r>
          </w:p>
          <w:p w:rsidR="00E37EAE" w:rsidRDefault="00E37EAE" w:rsidP="00E37EAE">
            <w:pPr>
              <w:keepNext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Inclusive communities where people living with a disability can have rich and meaningful lives</w:t>
            </w:r>
          </w:p>
          <w:p w:rsidR="00E37EAE" w:rsidRPr="008B3024" w:rsidRDefault="00E37EAE" w:rsidP="00E37EAE">
            <w:pPr>
              <w:keepNext/>
              <w:rPr>
                <w:rFonts w:ascii="Arial" w:hAnsi="Arial" w:cs="Arial"/>
                <w:color w:val="000000" w:themeColor="text1"/>
              </w:rPr>
            </w:pPr>
          </w:p>
          <w:p w:rsidR="00E37EAE" w:rsidRPr="008B3024" w:rsidRDefault="00E37EAE" w:rsidP="00E37EAE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Mission</w:t>
            </w:r>
          </w:p>
          <w:p w:rsidR="00E37EAE" w:rsidRDefault="00E37EAE" w:rsidP="00E37EAE">
            <w:pPr>
              <w:keepNext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Empowering people living with a disability to live rich and meaningful lives in an inclusive community.</w:t>
            </w:r>
          </w:p>
          <w:p w:rsidR="00E37EAE" w:rsidRPr="008B3024" w:rsidRDefault="00E37EAE" w:rsidP="00E37EAE">
            <w:pPr>
              <w:keepNext/>
              <w:rPr>
                <w:rFonts w:ascii="Arial" w:hAnsi="Arial" w:cs="Arial"/>
                <w:color w:val="000000" w:themeColor="text1"/>
              </w:rPr>
            </w:pPr>
          </w:p>
          <w:p w:rsidR="00E37EAE" w:rsidRPr="008B3024" w:rsidRDefault="00E37EAE" w:rsidP="00E37EAE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Values</w:t>
            </w:r>
          </w:p>
          <w:p w:rsidR="00E37EAE" w:rsidRPr="00E53E5A" w:rsidRDefault="00E37EAE" w:rsidP="00E37EAE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Dignity and respect</w:t>
            </w:r>
          </w:p>
          <w:p w:rsidR="00E37EAE" w:rsidRPr="00E53E5A" w:rsidRDefault="00E37EAE" w:rsidP="00E37EAE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Inclusiveness</w:t>
            </w:r>
          </w:p>
          <w:p w:rsidR="00E37EAE" w:rsidRPr="00E53E5A" w:rsidRDefault="00E37EAE" w:rsidP="00E37EAE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Self-Determination</w:t>
            </w:r>
          </w:p>
          <w:p w:rsidR="00E37EAE" w:rsidRPr="008B3024" w:rsidRDefault="00E37EAE" w:rsidP="00E37EAE">
            <w:pPr>
              <w:keepNext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Integrity</w:t>
            </w:r>
          </w:p>
          <w:p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:rsidTr="00D73C3C">
        <w:tc>
          <w:tcPr>
            <w:tcW w:w="9900" w:type="dxa"/>
          </w:tcPr>
          <w:p w:rsidR="004C2D24" w:rsidRPr="00D73C3C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:rsidR="00A00C7A" w:rsidRDefault="00EB7D23" w:rsidP="00FC1540">
            <w:pPr>
              <w:pStyle w:val="Text1"/>
              <w:keepNext/>
              <w:spacing w:before="0" w:after="0"/>
              <w:rPr>
                <w:color w:val="000000"/>
              </w:rPr>
            </w:pPr>
            <w:r w:rsidRPr="00BF57D1">
              <w:rPr>
                <w:color w:val="000000"/>
                <w:lang w:val="en-AU"/>
              </w:rPr>
              <w:t xml:space="preserve">The </w:t>
            </w:r>
            <w:r>
              <w:rPr>
                <w:color w:val="000000"/>
                <w:lang w:val="en-AU"/>
              </w:rPr>
              <w:t>role</w:t>
            </w:r>
            <w:r w:rsidRPr="00BF57D1">
              <w:rPr>
                <w:color w:val="000000"/>
                <w:lang w:val="en-AU"/>
              </w:rPr>
              <w:t xml:space="preserve"> coordinates the Accounts </w:t>
            </w:r>
            <w:r>
              <w:rPr>
                <w:color w:val="000000"/>
                <w:lang w:val="en-AU"/>
              </w:rPr>
              <w:t>Payable</w:t>
            </w:r>
            <w:r w:rsidRPr="00BF57D1">
              <w:rPr>
                <w:color w:val="000000"/>
                <w:lang w:val="en-AU"/>
              </w:rPr>
              <w:t xml:space="preserve"> process and provides general financial and administrative support to the Finance </w:t>
            </w:r>
            <w:r w:rsidRPr="004B22A4">
              <w:rPr>
                <w:color w:val="000000" w:themeColor="text1"/>
                <w:lang w:val="en-AU"/>
              </w:rPr>
              <w:t>team and Reception.</w:t>
            </w:r>
          </w:p>
        </w:tc>
      </w:tr>
    </w:tbl>
    <w:p w:rsidR="00C27592" w:rsidRPr="00361618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091"/>
        <w:gridCol w:w="6"/>
        <w:gridCol w:w="4188"/>
        <w:gridCol w:w="9"/>
        <w:gridCol w:w="3598"/>
      </w:tblGrid>
      <w:tr w:rsidR="00687103" w:rsidRPr="00361618" w:rsidTr="00F25079">
        <w:trPr>
          <w:trHeight w:val="361"/>
        </w:trPr>
        <w:tc>
          <w:tcPr>
            <w:tcW w:w="209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103" w:rsidRPr="00361618" w:rsidRDefault="000F3B8E" w:rsidP="00FC1540">
            <w:pPr>
              <w:pStyle w:val="Heading1"/>
              <w:rPr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Inherent requirements and responsibilities</w:t>
            </w:r>
          </w:p>
        </w:tc>
        <w:tc>
          <w:tcPr>
            <w:tcW w:w="420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103" w:rsidRPr="001A6AB6" w:rsidRDefault="00687103" w:rsidP="00FC154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6AB6">
              <w:rPr>
                <w:color w:val="000000"/>
                <w:sz w:val="24"/>
                <w:szCs w:val="24"/>
              </w:rPr>
              <w:t>Performance Measures</w:t>
            </w:r>
          </w:p>
          <w:p w:rsidR="00687103" w:rsidRPr="001A6AB6" w:rsidRDefault="00687103" w:rsidP="00FC154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61618">
              <w:rPr>
                <w:color w:val="000000"/>
                <w:sz w:val="20"/>
                <w:szCs w:val="20"/>
              </w:rPr>
              <w:t>(what to do)</w:t>
            </w:r>
          </w:p>
        </w:tc>
        <w:tc>
          <w:tcPr>
            <w:tcW w:w="3598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103" w:rsidRPr="001A6AB6" w:rsidRDefault="00687103" w:rsidP="00FC154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 w:rsidRPr="001A6AB6">
              <w:rPr>
                <w:rFonts w:ascii="Arial" w:hAnsi="Arial" w:cs="Arial"/>
                <w:b/>
                <w:color w:val="000000"/>
              </w:rPr>
              <w:t>Key Performance Indicators</w:t>
            </w:r>
          </w:p>
          <w:p w:rsidR="00687103" w:rsidRPr="001A6AB6" w:rsidRDefault="00687103" w:rsidP="00FC154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(how it may be demonstrated)</w:t>
            </w:r>
          </w:p>
        </w:tc>
      </w:tr>
      <w:tr w:rsidR="009335A7" w:rsidTr="009335A7">
        <w:trPr>
          <w:trHeight w:val="665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Pr="009A12B8" w:rsidRDefault="009335A7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Reconciliation of accounts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Default="009335A7" w:rsidP="00FC1540">
            <w:pPr>
              <w:keepNext/>
              <w:numPr>
                <w:ilvl w:val="0"/>
                <w:numId w:val="40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payable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Reconcile and process purchase orders and invoices.   </w:t>
            </w:r>
          </w:p>
          <w:p w:rsidR="008F59B6" w:rsidRPr="00D7269E" w:rsidRDefault="008F59B6" w:rsidP="00D7269E">
            <w:pPr>
              <w:keepNext/>
              <w:numPr>
                <w:ilvl w:val="0"/>
                <w:numId w:val="40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Maintain </w:t>
            </w:r>
            <w:proofErr w:type="spellStart"/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masterfiles</w:t>
            </w:r>
            <w:proofErr w:type="spellEnd"/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respond to enquiries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Pr="00BF57D1" w:rsidRDefault="009335A7" w:rsidP="00FC1540">
            <w:pPr>
              <w:keepNext/>
              <w:numPr>
                <w:ilvl w:val="0"/>
                <w:numId w:val="39"/>
              </w:numPr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payable are processed and followed up within an established timeline.</w:t>
            </w:r>
          </w:p>
        </w:tc>
      </w:tr>
      <w:tr w:rsidR="00BF57D1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Ledger Reconciliation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: Raise journals as required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ledgers are reconciled.</w:t>
            </w:r>
          </w:p>
        </w:tc>
      </w:tr>
      <w:tr w:rsidR="00BF57D1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9335A7" w:rsidRDefault="00BF57D1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5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of month</w:t>
            </w:r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Finalise</w:t>
            </w:r>
            <w:proofErr w:type="spellEnd"/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cashbook, creditor entries and then close month.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9335A7" w:rsidRDefault="00BF57D1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>End of month procedures are completed accurately and on time.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4A7" w:rsidRDefault="00C81B47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Administration and banking</w:t>
            </w: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C81B47" w:rsidRPr="006934A7" w:rsidRDefault="00C81B47" w:rsidP="006934A7">
            <w:pPr>
              <w:rPr>
                <w:lang w:val="en-AU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B47" w:rsidRPr="00C81B47" w:rsidRDefault="00C81B47" w:rsidP="00D7269E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Banking: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 bank statement each day, </w:t>
            </w:r>
            <w:r w:rsidR="00AB6C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conduct a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reconciliation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 </w:t>
            </w:r>
            <w:proofErr w:type="spellStart"/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cheq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proofErr w:type="spellEnd"/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required and </w:t>
            </w:r>
            <w:proofErr w:type="spellStart"/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signatures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cash in finance is kept securely.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Processes are in place to ensure security of cash and other receipts.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27592" w:rsidRDefault="00C81B47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EFT transfer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Process EFT and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runs.</w:t>
            </w:r>
          </w:p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payments are made without purchase orders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authorised</w:t>
            </w:r>
            <w:proofErr w:type="spellEnd"/>
            <w:r w:rsidR="00323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CEO or relevant Co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ordinators.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27592" w:rsidRDefault="00C81B47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Cashflow</w:t>
            </w:r>
            <w:proofErr w:type="spellEnd"/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Update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cashflow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spreadsheet each week and end of month. Ensure adequate funds are available.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Petty Cash reimbursements are dispersed as required and entered into Arrow in correct expense category.</w:t>
            </w:r>
          </w:p>
        </w:tc>
      </w:tr>
      <w:tr w:rsidR="00FC1540" w:rsidTr="008253BF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Finance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keepNext/>
              <w:numPr>
                <w:ilvl w:val="0"/>
                <w:numId w:val="8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salary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sacrifice </w:t>
            </w:r>
            <w:proofErr w:type="spellStart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</w:t>
            </w:r>
            <w:proofErr w:type="spellEnd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staff who salary sacrifice to credit card.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processed in a timely manner.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numPr>
                <w:ilvl w:val="0"/>
                <w:numId w:val="8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 company credit cards and process as required.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Reconciliation is completed in a timely manner.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a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ccurate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timely recording of all relevant journals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entries.</w:t>
            </w:r>
          </w:p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Accurate monthly financial </w:t>
            </w:r>
            <w:proofErr w:type="spellStart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reports are provided within specified timelines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relevant accounts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financials in relevant folders.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financial records are up to date and filed correctly and securely. 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  <w:r w:rsidRPr="009A12B8">
              <w:rPr>
                <w:color w:val="000000"/>
              </w:rPr>
              <w:t>Reporting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eporting for GST, etc.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complete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due date.</w:t>
            </w:r>
          </w:p>
        </w:tc>
        <w:tc>
          <w:tcPr>
            <w:tcW w:w="35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Reporting requirements of the Australian Taxation Office are met with, completed and paid on time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Cash flow reflect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upcoming payment dates so a/c does not go into debit.</w:t>
            </w:r>
          </w:p>
        </w:tc>
        <w:tc>
          <w:tcPr>
            <w:tcW w:w="359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PAYG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make sure it is reported &amp; paid monthly.</w:t>
            </w:r>
          </w:p>
        </w:tc>
        <w:tc>
          <w:tcPr>
            <w:tcW w:w="359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RPr="00361618" w:rsidTr="00F25079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Provide back up support to Accounts Receivable and Payroll</w:t>
            </w: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BF57D1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receivable</w:t>
            </w:r>
            <w:r w:rsidRPr="00AB6C3F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 and process invoices and statements for chasing.</w:t>
            </w:r>
          </w:p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 outstanding invoices, maintain master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files and respond to enquir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es.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receivable are processed and followed up within an established timeline.</w:t>
            </w:r>
          </w:p>
        </w:tc>
      </w:tr>
      <w:tr w:rsidR="008F59B6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9B6" w:rsidRPr="009A12B8" w:rsidRDefault="008F59B6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59B6" w:rsidRPr="00BF57D1" w:rsidRDefault="00FC3DB1" w:rsidP="008F59B6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</w:t>
            </w:r>
            <w:r w:rsidR="008F59B6"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F59B6"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Reconcile accounts and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</w:t>
            </w:r>
            <w:r w:rsidR="008F59B6"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 requests for the Services.  </w:t>
            </w:r>
          </w:p>
          <w:p w:rsidR="008F59B6" w:rsidRPr="00B161EE" w:rsidRDefault="008F59B6" w:rsidP="00FC154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59B6" w:rsidRPr="00C81B47" w:rsidRDefault="008F59B6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positive feedback from staff and stakeholders regarding any queries lodged.</w:t>
            </w:r>
          </w:p>
        </w:tc>
      </w:tr>
      <w:tr w:rsidR="00FC1540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rocess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required and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signatures. </w:t>
            </w:r>
          </w:p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weekly banking (debtor payments)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Petty cash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Process petty cash re-imbursements for employees and departments, reconcile weekly and </w:t>
            </w:r>
            <w:proofErr w:type="spellStart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funds from bank.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Petty Cash is reconciled weekly and balanced before being topped up.</w:t>
            </w:r>
          </w:p>
        </w:tc>
      </w:tr>
      <w:tr w:rsidR="00440168" w:rsidRPr="00361618" w:rsidTr="00D7269E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C81B47" w:rsidRDefault="00440168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334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 w:rsidRPr="007533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Business Services quarterly stock take, update spreadsheet, check variances and update GL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C81B47" w:rsidRDefault="00440168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Quarterly </w:t>
            </w:r>
            <w:proofErr w:type="spellStart"/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stocktake</w:t>
            </w:r>
            <w:proofErr w:type="spellEnd"/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completed with all documentation accurate and up to date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0168" w:rsidRPr="00361618" w:rsidTr="00F25079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keepNext/>
              <w:tabs>
                <w:tab w:val="left" w:pos="10530"/>
              </w:tabs>
              <w:ind w:left="127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Payroll: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 as Relieving Payroll Officer, on a fortnightly basis check timesheets against report for errors before payroll is </w:t>
            </w:r>
            <w:proofErr w:type="spellStart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finalised</w:t>
            </w:r>
            <w:proofErr w:type="spellEnd"/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Update time allocations.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FC1540" w:rsidRDefault="00440168" w:rsidP="00FC1540">
            <w:pPr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fortnightly and weekly payrolls are processed accurately and in a timely manner.</w:t>
            </w:r>
          </w:p>
          <w:p w:rsidR="00440168" w:rsidRPr="00922AE0" w:rsidRDefault="00440168" w:rsidP="00FC1540">
            <w:pPr>
              <w:pStyle w:val="ListParagraph"/>
              <w:keepNext/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168" w:rsidRPr="00361618" w:rsidTr="00B07E2F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C27592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File copies of 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asset register 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C27592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asset register is maintained and regular checks are undertaken.</w:t>
            </w:r>
          </w:p>
        </w:tc>
      </w:tr>
      <w:tr w:rsidR="00440168" w:rsidRPr="00922AE0" w:rsidTr="0016184B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  <w:r w:rsidRPr="009A12B8">
              <w:rPr>
                <w:color w:val="000000"/>
              </w:rPr>
              <w:t>General</w:t>
            </w: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records for auditors as necessary.</w:t>
            </w:r>
          </w:p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All records are prepared and readily available for auditors.</w:t>
            </w:r>
          </w:p>
        </w:tc>
      </w:tr>
      <w:tr w:rsidR="00440168" w:rsidRPr="00922AE0" w:rsidTr="0016184B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travel arrangements on request by booking conferences, training courses, flights, cars, accommodation,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Appropriate travel arrangements are made within budget and in a timely manner.</w:t>
            </w:r>
          </w:p>
        </w:tc>
      </w:tr>
      <w:tr w:rsidR="00440168" w:rsidRPr="001E118E" w:rsidTr="0016184B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 o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ther general duties such as phone enquiries, filing, archiving, etc.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general duties are completed to satisfaction. </w:t>
            </w:r>
          </w:p>
        </w:tc>
      </w:tr>
      <w:tr w:rsidR="00440168" w:rsidRPr="001E118E" w:rsidTr="0016184B">
        <w:trPr>
          <w:trHeight w:val="361"/>
        </w:trPr>
        <w:tc>
          <w:tcPr>
            <w:tcW w:w="2099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updated on any legislation or industry changes through websites (e.g. ATO) and other media such as industry newsletters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subscriptions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informed of any relevant legislation or industry standard changes. Correspondence from the Australian Taxation Office as well as their website is regularly reviewed to ensure compliance with taxation laws.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relief</w:t>
            </w:r>
          </w:p>
          <w:p w:rsidR="00440168" w:rsidRPr="00555D37" w:rsidRDefault="00440168" w:rsidP="00FC1540">
            <w:pPr>
              <w:pStyle w:val="Heading1"/>
            </w:pPr>
          </w:p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</w:t>
            </w:r>
            <w:r w:rsidRPr="00555D37">
              <w:t xml:space="preserve"> </w:t>
            </w:r>
            <w:r w:rsidRPr="00555D37">
              <w:rPr>
                <w:rFonts w:ascii="Arial" w:hAnsi="Arial" w:cs="Arial"/>
                <w:sz w:val="20"/>
                <w:szCs w:val="20"/>
              </w:rPr>
              <w:t>promote a professional and friendly image as the front-line person for Multitask.</w:t>
            </w:r>
          </w:p>
        </w:tc>
        <w:tc>
          <w:tcPr>
            <w:tcW w:w="3607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are made comfortable and announced with any delay of over 5 minutes notified to them.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security of the building in regard to access to Reception and Visitors signing in.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visitors have signed in and out of the visitor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s book.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Feedback indicates that all calls are greeted and communicated to with politeness and a helpful attitude at all times.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Process customer enquiries and orders for Business Services</w:t>
            </w:r>
            <w:r w:rsidR="00D72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 w:righ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reception is always tidy and adequately maintained.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Reception and meeting rooms are clean and tidy at all times. 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color w:val="000000"/>
              </w:rPr>
            </w:pP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Be compliant with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Work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Health and Safety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(W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H&amp;S) and be responsible for ensuring standards are maintained. </w:t>
            </w:r>
          </w:p>
        </w:tc>
        <w:tc>
          <w:tcPr>
            <w:tcW w:w="419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32" w:right="216"/>
              <w:rPr>
                <w:b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 requirements. 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0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62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Continuous improvement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various tools to improve performance, ability and skill base to support growth and development with individuals and team work.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the supervision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initiative to seek </w:t>
            </w:r>
            <w:proofErr w:type="spellStart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</w:t>
            </w:r>
            <w:r w:rsidR="002857A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</w:t>
            </w:r>
            <w:proofErr w:type="spellEnd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departmental area growth.</w:t>
            </w:r>
          </w:p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relevant meetings, training activities etc. evidenced by calendar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2857A1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Take opportunities to increase skills through identifying relevant training and study opportunities that will contribute to improved </w:t>
            </w:r>
            <w:proofErr w:type="spellStart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</w:t>
            </w:r>
            <w:r w:rsidR="002857A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</w:t>
            </w:r>
            <w:proofErr w:type="spellEnd"/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outcomes.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 Relevant training is identified in both supervision and appraisal documentation and evidence it has been followed through.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commitment to change management processes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22C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14622C">
              <w:rPr>
                <w:rFonts w:ascii="Arial" w:hAnsi="Arial" w:cs="Arial"/>
                <w:sz w:val="20"/>
                <w:szCs w:val="20"/>
              </w:rPr>
              <w:t xml:space="preserve"> changes and sustainable environmental practice is supported.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develop project opportunities to 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dress service gaps, implement project work and report on findings and recommendations.</w:t>
            </w:r>
          </w:p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evidence through supervision and meetings that gaps are identified and projects developed and undertaken to enhance service delivery.</w:t>
            </w:r>
          </w:p>
        </w:tc>
      </w:tr>
      <w:tr w:rsidR="00440168" w:rsidRPr="001E118E" w:rsidTr="00323F0A">
        <w:trPr>
          <w:trHeight w:val="1518"/>
        </w:trPr>
        <w:tc>
          <w:tcPr>
            <w:tcW w:w="209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0F3B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Be compliant with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codes,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guidelines,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policies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procedures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&amp; Disability Service Standards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codes, guidelines, 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policies and procedures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Disability Services Standards</w:t>
            </w:r>
            <w:r>
              <w:t xml:space="preserve"> </w:t>
            </w:r>
            <w:r w:rsidRPr="00EB4356">
              <w:rPr>
                <w:rFonts w:ascii="Arial" w:hAnsi="Arial" w:cs="Arial"/>
                <w:color w:val="000000"/>
                <w:sz w:val="20"/>
                <w:szCs w:val="20"/>
              </w:rPr>
              <w:t>as amended from time to time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Codes, guidelines, policies, procedures and Disability Service Standards are adhered to at all times.</w:t>
            </w:r>
          </w:p>
        </w:tc>
      </w:tr>
      <w:tr w:rsidR="00440168" w:rsidRPr="00361618" w:rsidTr="00323F0A">
        <w:trPr>
          <w:trHeight w:val="255"/>
        </w:trPr>
        <w:tc>
          <w:tcPr>
            <w:tcW w:w="209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61618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DB1">
              <w:rPr>
                <w:rFonts w:ascii="Arial" w:hAnsi="Arial" w:cs="Arial"/>
                <w:color w:val="000000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s,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staff or the community.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appropriate standards of professional conduct at all times.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Interactions with </w:t>
            </w:r>
            <w:r w:rsidR="00FC3DB1">
              <w:rPr>
                <w:rFonts w:ascii="Arial" w:hAnsi="Arial" w:cs="Arial"/>
                <w:sz w:val="20"/>
                <w:szCs w:val="20"/>
              </w:rPr>
              <w:t>participant</w:t>
            </w:r>
            <w:r w:rsidRPr="0014622C">
              <w:rPr>
                <w:rFonts w:ascii="Arial" w:hAnsi="Arial" w:cs="Arial"/>
                <w:sz w:val="20"/>
                <w:szCs w:val="20"/>
              </w:rPr>
              <w:t>s, colleagues and stakeholders are undertaken in a courteous and sensitive manner. Cultural and linguistic diversity is taken into consideration.</w:t>
            </w:r>
          </w:p>
        </w:tc>
      </w:tr>
      <w:tr w:rsidR="00440168" w:rsidRPr="00361618" w:rsidTr="00323F0A">
        <w:trPr>
          <w:trHeight w:val="255"/>
        </w:trPr>
        <w:tc>
          <w:tcPr>
            <w:tcW w:w="2099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4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There is positive feedback from others regarding your interactions.</w:t>
            </w:r>
          </w:p>
        </w:tc>
      </w:tr>
      <w:tr w:rsidR="00440168" w:rsidRPr="00361618" w:rsidTr="00F25079">
        <w:trPr>
          <w:trHeight w:val="255"/>
        </w:trPr>
        <w:tc>
          <w:tcPr>
            <w:tcW w:w="9900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Default="00440168" w:rsidP="00FC1540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0168" w:rsidRDefault="00440168" w:rsidP="00FC154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duties related to the role as requested by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or Nominee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40168" w:rsidRPr="00361618" w:rsidRDefault="00440168" w:rsidP="00FC154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5134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D75199" w:rsidTr="00D75199">
        <w:tc>
          <w:tcPr>
            <w:tcW w:w="9900" w:type="dxa"/>
          </w:tcPr>
          <w:p w:rsidR="00F95134" w:rsidRPr="00D75199" w:rsidRDefault="00F95134" w:rsidP="00FC154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t>Essential Criteria</w:t>
            </w:r>
          </w:p>
        </w:tc>
      </w:tr>
      <w:tr w:rsidR="00F95134" w:rsidRPr="00D75199" w:rsidTr="00D75199">
        <w:tc>
          <w:tcPr>
            <w:tcW w:w="9900" w:type="dxa"/>
          </w:tcPr>
          <w:p w:rsidR="00712A94" w:rsidRDefault="00712A94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Qualifications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A tertiary qualification in accounting, office administration</w:t>
            </w:r>
            <w:r w:rsidR="001318E7">
              <w:rPr>
                <w:rFonts w:ascii="Arial" w:hAnsi="Arial" w:cs="Arial"/>
                <w:color w:val="000000"/>
                <w:sz w:val="20"/>
                <w:szCs w:val="20"/>
              </w:rPr>
              <w:t xml:space="preserve"> or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working towards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1318E7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relevant 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qualification or equivalent experience is desirable.</w:t>
            </w: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 skills and experience</w:t>
            </w:r>
          </w:p>
          <w:p w:rsid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knowledge and experience in basic accounting principles, particularly in relation to accounts payable, record maintenance and auditing principles. </w:t>
            </w:r>
          </w:p>
          <w:p w:rsidR="002857A1" w:rsidRPr="002857A1" w:rsidRDefault="002857A1" w:rsidP="002857A1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computerised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accounting systems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Sage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Accpac</w:t>
            </w:r>
            <w:proofErr w:type="spellEnd"/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Ability to maintain confidentiality.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Compute</w:t>
            </w:r>
            <w:r w:rsidR="00323F0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literate: proficient in MS Excel, Word, Outlook and data entry.</w:t>
            </w:r>
          </w:p>
          <w:p w:rsidR="00922AE0" w:rsidRPr="00922AE0" w:rsidRDefault="004A1844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Thorough understanding of W</w:t>
            </w:r>
            <w:r w:rsidR="00922AE0" w:rsidRPr="00922AE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="00922AE0" w:rsidRPr="00922AE0">
              <w:rPr>
                <w:rFonts w:ascii="Arial" w:hAnsi="Arial" w:cs="Arial"/>
                <w:color w:val="000000"/>
                <w:sz w:val="20"/>
                <w:szCs w:val="20"/>
              </w:rPr>
              <w:t>S Act and Standards.</w:t>
            </w: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Related skills and experience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capacity to collaborate as part of a diverse team. 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Demonstrated ability to problem solve and use initiative.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Strong communication skills and demonstrated flexibility in methods of communication.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</w:t>
            </w:r>
            <w:proofErr w:type="spellStart"/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organisational</w:t>
            </w:r>
            <w:proofErr w:type="spellEnd"/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 and accuracy.</w:t>
            </w:r>
          </w:p>
          <w:p w:rsidR="00D73C3C" w:rsidRPr="00D73C3C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3C3C" w:rsidRDefault="00D73C3C" w:rsidP="00FC1540">
      <w:pPr>
        <w:keepNext/>
        <w:ind w:left="-540"/>
      </w:pPr>
    </w:p>
    <w:p w:rsidR="00D53655" w:rsidRDefault="00D53655" w:rsidP="00FC1540">
      <w:pPr>
        <w:keepNext/>
        <w:ind w:left="-540"/>
      </w:pPr>
    </w:p>
    <w:p w:rsidR="00F3653A" w:rsidRDefault="00F3653A" w:rsidP="00FC1540">
      <w:pPr>
        <w:keepNext/>
        <w:ind w:left="-540"/>
      </w:pPr>
    </w:p>
    <w:p w:rsidR="0009291A" w:rsidRDefault="0009291A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1540" w:rsidRDefault="00101A92" w:rsidP="00FC1540">
      <w:pPr>
        <w:keepNext/>
        <w:ind w:left="-540"/>
      </w:pPr>
      <w:r>
        <w:object w:dxaOrig="24720" w:dyaOrig="12136">
          <v:shape id="_x0000_i1028" type="#_x0000_t75" style="width:458.25pt;height:225pt" o:ole="">
            <v:imagedata r:id="rId8" o:title=""/>
          </v:shape>
          <o:OLEObject Type="Embed" ProgID="Visio.Drawing.15" ShapeID="_x0000_i1028" DrawAspect="Content" ObjectID="_1699255462" r:id="rId9"/>
        </w:object>
      </w:r>
      <w:bookmarkStart w:id="0" w:name="_GoBack"/>
      <w:bookmarkEnd w:id="0"/>
    </w:p>
    <w:p w:rsidR="00EE6D92" w:rsidRDefault="00EE6D92" w:rsidP="00FC1540">
      <w:pPr>
        <w:keepNext/>
        <w:ind w:left="-540"/>
      </w:pPr>
    </w:p>
    <w:p w:rsidR="00EE6D92" w:rsidRDefault="00EE6D92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61E6" w:rsidRPr="008A35C7" w:rsidRDefault="000F3B8E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0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0" w:rsidRDefault="009246D0">
      <w:r>
        <w:separator/>
      </w:r>
    </w:p>
  </w:endnote>
  <w:endnote w:type="continuationSeparator" w:id="0">
    <w:p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A7" w:rsidRPr="006934A7" w:rsidRDefault="008A6772" w:rsidP="006934A7">
    <w:pPr>
      <w:pStyle w:val="Foo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Issue 3 090321 Review 301122</w:t>
    </w:r>
    <w:r w:rsidR="006934A7" w:rsidRPr="006934A7">
      <w:rPr>
        <w:rFonts w:ascii="Arial" w:hAnsi="Arial" w:cs="Arial"/>
        <w:color w:val="000000" w:themeColor="text1"/>
        <w:sz w:val="16"/>
        <w:szCs w:val="16"/>
      </w:rPr>
      <w:t xml:space="preserve">                                     Page 3                         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            V0321</w:t>
    </w:r>
  </w:p>
  <w:p w:rsidR="00AD53AF" w:rsidRPr="006934A7" w:rsidRDefault="006934A7" w:rsidP="006934A7">
    <w:pPr>
      <w:pStyle w:val="Footer"/>
    </w:pPr>
    <w:r w:rsidRPr="006934A7">
      <w:rPr>
        <w:rFonts w:ascii="Arial" w:hAnsi="Arial" w:cs="Arial"/>
        <w:color w:val="000000" w:themeColor="text1"/>
        <w:sz w:val="16"/>
        <w:szCs w:val="16"/>
      </w:rPr>
      <w:t>\\FILE-SERVER\Shared Files\Position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0" w:rsidRDefault="009246D0">
      <w:r>
        <w:separator/>
      </w:r>
    </w:p>
  </w:footnote>
  <w:footnote w:type="continuationSeparator" w:id="0">
    <w:p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53CA3"/>
    <w:rsid w:val="00053E18"/>
    <w:rsid w:val="00074305"/>
    <w:rsid w:val="000743B4"/>
    <w:rsid w:val="00082026"/>
    <w:rsid w:val="0009291A"/>
    <w:rsid w:val="000B06E5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1A92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34A7"/>
    <w:rsid w:val="00695129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56B2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5593"/>
    <w:rsid w:val="00856AF6"/>
    <w:rsid w:val="00862598"/>
    <w:rsid w:val="008703DA"/>
    <w:rsid w:val="00875A57"/>
    <w:rsid w:val="008A544F"/>
    <w:rsid w:val="008A6772"/>
    <w:rsid w:val="008A7805"/>
    <w:rsid w:val="008D6869"/>
    <w:rsid w:val="008E090E"/>
    <w:rsid w:val="008E2F22"/>
    <w:rsid w:val="008E74E1"/>
    <w:rsid w:val="008F2DA2"/>
    <w:rsid w:val="008F448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89F"/>
    <w:rsid w:val="009A1365"/>
    <w:rsid w:val="009B7144"/>
    <w:rsid w:val="009C42F3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EE"/>
    <w:rsid w:val="00AD53AF"/>
    <w:rsid w:val="00AD7A13"/>
    <w:rsid w:val="00AE18DB"/>
    <w:rsid w:val="00AF47DA"/>
    <w:rsid w:val="00B00E3D"/>
    <w:rsid w:val="00B064CE"/>
    <w:rsid w:val="00B3031C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27592"/>
    <w:rsid w:val="00C31E2C"/>
    <w:rsid w:val="00C32A5D"/>
    <w:rsid w:val="00C445EB"/>
    <w:rsid w:val="00C70E84"/>
    <w:rsid w:val="00C728D4"/>
    <w:rsid w:val="00C77E30"/>
    <w:rsid w:val="00C81B47"/>
    <w:rsid w:val="00CB2CC7"/>
    <w:rsid w:val="00CC3BE6"/>
    <w:rsid w:val="00CC3FC8"/>
    <w:rsid w:val="00CC6505"/>
    <w:rsid w:val="00CC7A6D"/>
    <w:rsid w:val="00CF250B"/>
    <w:rsid w:val="00D06621"/>
    <w:rsid w:val="00D15E2A"/>
    <w:rsid w:val="00D30F95"/>
    <w:rsid w:val="00D404CC"/>
    <w:rsid w:val="00D46591"/>
    <w:rsid w:val="00D52F42"/>
    <w:rsid w:val="00D53655"/>
    <w:rsid w:val="00D57410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F3D6B"/>
    <w:rsid w:val="00DF694A"/>
    <w:rsid w:val="00E046E5"/>
    <w:rsid w:val="00E11AC1"/>
    <w:rsid w:val="00E12A79"/>
    <w:rsid w:val="00E13593"/>
    <w:rsid w:val="00E17031"/>
    <w:rsid w:val="00E34B8A"/>
    <w:rsid w:val="00E35FD2"/>
    <w:rsid w:val="00E37CD3"/>
    <w:rsid w:val="00E37EAE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E6D9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FE99F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7</cp:revision>
  <cp:lastPrinted>2014-06-11T05:30:00Z</cp:lastPrinted>
  <dcterms:created xsi:type="dcterms:W3CDTF">2018-11-13T03:35:00Z</dcterms:created>
  <dcterms:modified xsi:type="dcterms:W3CDTF">2021-11-23T23:36:00Z</dcterms:modified>
</cp:coreProperties>
</file>